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2144"/>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
        <w:gridCol w:w="2160"/>
        <w:gridCol w:w="2520"/>
        <w:gridCol w:w="2880"/>
        <w:gridCol w:w="2920"/>
      </w:tblGrid>
      <w:tr w:rsidR="00EB4E59" w:rsidRPr="00EB4E59" w:rsidTr="00EB4E59">
        <w:tblPrEx>
          <w:tblCellMar>
            <w:top w:w="0" w:type="dxa"/>
            <w:bottom w:w="0" w:type="dxa"/>
          </w:tblCellMar>
        </w:tblPrEx>
        <w:trPr>
          <w:trHeight w:val="200"/>
        </w:trPr>
        <w:tc>
          <w:tcPr>
            <w:tcW w:w="430" w:type="dxa"/>
            <w:vMerge w:val="restart"/>
            <w:vAlign w:val="center"/>
          </w:tcPr>
          <w:p w:rsidR="00EB4E59" w:rsidRPr="00EB4E59" w:rsidRDefault="00EB4E59" w:rsidP="00EB4E59">
            <w:pPr>
              <w:bidi w:val="0"/>
              <w:spacing w:before="100" w:beforeAutospacing="1" w:after="100" w:afterAutospacing="1"/>
              <w:jc w:val="center"/>
              <w:rPr>
                <w:rFonts w:ascii="Agency FB" w:hAnsi="Agency FB"/>
                <w:b/>
                <w:bCs/>
                <w:color w:val="FF0000"/>
                <w:sz w:val="22"/>
                <w:szCs w:val="22"/>
                <w:lang w:eastAsia="fr-FR"/>
              </w:rPr>
            </w:pPr>
            <w:r w:rsidRPr="00EB4E59">
              <w:rPr>
                <w:rFonts w:ascii="Agency FB" w:hAnsi="Agency FB"/>
                <w:b/>
                <w:bCs/>
                <w:color w:val="FF0000"/>
                <w:sz w:val="22"/>
                <w:szCs w:val="22"/>
                <w:lang w:eastAsia="fr-FR"/>
              </w:rPr>
              <w:t>Ni</w:t>
            </w:r>
          </w:p>
        </w:tc>
        <w:tc>
          <w:tcPr>
            <w:tcW w:w="4680" w:type="dxa"/>
            <w:gridSpan w:val="2"/>
          </w:tcPr>
          <w:p w:rsidR="00EB4E59" w:rsidRPr="00EB4E59" w:rsidRDefault="00EB4E59" w:rsidP="00EB4E59">
            <w:pPr>
              <w:bidi w:val="0"/>
              <w:spacing w:before="100" w:beforeAutospacing="1" w:after="100" w:afterAutospacing="1"/>
              <w:jc w:val="center"/>
              <w:rPr>
                <w:rFonts w:ascii="Agency FB" w:hAnsi="Agency FB"/>
                <w:b/>
                <w:bCs/>
                <w:color w:val="333399"/>
                <w:sz w:val="22"/>
                <w:szCs w:val="22"/>
                <w:lang w:eastAsia="fr-FR"/>
              </w:rPr>
            </w:pPr>
            <w:r w:rsidRPr="00EB4E59">
              <w:rPr>
                <w:rFonts w:ascii="Agency FB" w:hAnsi="Agency FB"/>
                <w:b/>
                <w:bCs/>
                <w:color w:val="333399"/>
                <w:sz w:val="22"/>
                <w:szCs w:val="22"/>
                <w:lang w:eastAsia="fr-FR"/>
              </w:rPr>
              <w:t xml:space="preserve">Aspect individuel </w:t>
            </w:r>
          </w:p>
        </w:tc>
        <w:tc>
          <w:tcPr>
            <w:tcW w:w="5800" w:type="dxa"/>
            <w:gridSpan w:val="2"/>
          </w:tcPr>
          <w:p w:rsidR="00EB4E59" w:rsidRPr="00EB4E59" w:rsidRDefault="00EB4E59" w:rsidP="00EB4E59">
            <w:pPr>
              <w:bidi w:val="0"/>
              <w:spacing w:before="100" w:beforeAutospacing="1" w:after="100" w:afterAutospacing="1"/>
              <w:jc w:val="center"/>
              <w:rPr>
                <w:rFonts w:ascii="Agency FB" w:hAnsi="Agency FB"/>
                <w:b/>
                <w:bCs/>
                <w:color w:val="333399"/>
                <w:sz w:val="22"/>
                <w:szCs w:val="22"/>
                <w:lang w:eastAsia="fr-FR"/>
              </w:rPr>
            </w:pPr>
            <w:r w:rsidRPr="00EB4E59">
              <w:rPr>
                <w:rFonts w:ascii="Agency FB" w:hAnsi="Agency FB"/>
                <w:b/>
                <w:bCs/>
                <w:color w:val="333399"/>
                <w:sz w:val="22"/>
                <w:szCs w:val="22"/>
                <w:lang w:eastAsia="fr-FR"/>
              </w:rPr>
              <w:t>Aspect collectif</w:t>
            </w:r>
          </w:p>
        </w:tc>
      </w:tr>
      <w:tr w:rsidR="00EB4E59" w:rsidRPr="00EB4E59" w:rsidTr="00EB4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trHeight w:val="344"/>
        </w:trPr>
        <w:tc>
          <w:tcPr>
            <w:tcW w:w="430" w:type="dxa"/>
            <w:vMerge/>
            <w:tcBorders>
              <w:bottom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p>
        </w:tc>
        <w:tc>
          <w:tcPr>
            <w:tcW w:w="2160" w:type="dxa"/>
            <w:tcBorders>
              <w:top w:val="single" w:sz="8" w:space="0" w:color="auto"/>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Caractéristiques</w:t>
            </w:r>
          </w:p>
        </w:tc>
        <w:tc>
          <w:tcPr>
            <w:tcW w:w="2520" w:type="dxa"/>
            <w:tcBorders>
              <w:top w:val="single" w:sz="8" w:space="0" w:color="auto"/>
              <w:left w:val="nil"/>
              <w:bottom w:val="single" w:sz="8" w:space="0" w:color="auto"/>
              <w:right w:val="single" w:sz="4"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Objectifs moteurs</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rPr>
                <w:rFonts w:ascii="Agency FB" w:hAnsi="Agency FB"/>
                <w:b/>
                <w:bCs/>
                <w:sz w:val="22"/>
                <w:szCs w:val="22"/>
                <w:lang w:eastAsia="fr-FR"/>
              </w:rPr>
            </w:pPr>
            <w:r w:rsidRPr="00EB4E59">
              <w:rPr>
                <w:rFonts w:ascii="Agency FB" w:hAnsi="Agency FB"/>
                <w:b/>
                <w:bCs/>
                <w:color w:val="FF0000"/>
                <w:sz w:val="22"/>
                <w:szCs w:val="22"/>
                <w:lang w:eastAsia="fr-FR"/>
              </w:rPr>
              <w:t>Caractéristiques</w:t>
            </w:r>
          </w:p>
        </w:tc>
        <w:tc>
          <w:tcPr>
            <w:tcW w:w="292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rPr>
                <w:rFonts w:ascii="Agency FB" w:hAnsi="Agency FB"/>
                <w:b/>
                <w:bCs/>
                <w:sz w:val="22"/>
                <w:szCs w:val="22"/>
                <w:lang w:eastAsia="fr-FR"/>
              </w:rPr>
            </w:pPr>
            <w:r w:rsidRPr="00EB4E59">
              <w:rPr>
                <w:rFonts w:ascii="Agency FB" w:hAnsi="Agency FB"/>
                <w:b/>
                <w:bCs/>
                <w:color w:val="FF0000"/>
                <w:sz w:val="22"/>
                <w:szCs w:val="22"/>
                <w:lang w:eastAsia="fr-FR"/>
              </w:rPr>
              <w:t>Objectifs moteurs</w:t>
            </w:r>
          </w:p>
        </w:tc>
      </w:tr>
      <w:tr w:rsidR="00EB4E59" w:rsidRPr="00EB4E59" w:rsidTr="00EB4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trHeight w:val="1592"/>
        </w:trPr>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 </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1</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-Réaction explosives sur la balle.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-Manque d’équilibre.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-Absence de déplacement dans l’espace.</w:t>
            </w:r>
          </w:p>
        </w:tc>
        <w:tc>
          <w:tcPr>
            <w:tcW w:w="2520" w:type="dxa"/>
            <w:tcBorders>
              <w:top w:val="nil"/>
              <w:left w:val="nil"/>
              <w:bottom w:val="single" w:sz="8" w:space="0" w:color="auto"/>
              <w:right w:val="single" w:sz="4"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Intervenir sur la balle sans des réactions explosives.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Maintenir l’équilibre.</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Difficulté de se mettre en route.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L’installation du matériel pose problème.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Jeu 4 contre 4 : exploit individuel, jeu de frappe maîtrisé pour la moitié de la classe mais seul un joueur essaie de construire et faire jouer ses partenaires utilisation de la tête et du pied.</w:t>
            </w:r>
          </w:p>
          <w:p w:rsidR="00EB4E59" w:rsidRPr="00EB4E59" w:rsidRDefault="00EB4E59" w:rsidP="00EB4E59">
            <w:pPr>
              <w:bidi w:val="0"/>
              <w:jc w:val="center"/>
              <w:rPr>
                <w:rFonts w:ascii="Agency FB" w:hAnsi="Agency FB"/>
                <w:b/>
                <w:bCs/>
                <w:sz w:val="22"/>
                <w:szCs w:val="22"/>
                <w:lang w:eastAsia="fr-FR"/>
              </w:rPr>
            </w:pPr>
            <w:r w:rsidRPr="00EB4E59">
              <w:rPr>
                <w:rFonts w:ascii="Agency FB" w:hAnsi="Agency FB"/>
                <w:b/>
                <w:bCs/>
                <w:sz w:val="22"/>
                <w:szCs w:val="22"/>
                <w:lang w:eastAsia="fr-FR"/>
              </w:rPr>
              <w:t xml:space="preserve">Sentiment qu’il existe un potentiel intéressant </w:t>
            </w:r>
            <w:proofErr w:type="spellStart"/>
            <w:proofErr w:type="gramStart"/>
            <w:r w:rsidRPr="00EB4E59">
              <w:rPr>
                <w:rFonts w:ascii="Agency FB" w:hAnsi="Agency FB"/>
                <w:b/>
                <w:bCs/>
                <w:sz w:val="22"/>
                <w:szCs w:val="22"/>
                <w:lang w:eastAsia="fr-FR"/>
              </w:rPr>
              <w:t>a</w:t>
            </w:r>
            <w:proofErr w:type="spellEnd"/>
            <w:proofErr w:type="gramEnd"/>
            <w:r w:rsidRPr="00EB4E59">
              <w:rPr>
                <w:rFonts w:ascii="Agency FB" w:hAnsi="Agency FB"/>
                <w:b/>
                <w:bCs/>
                <w:sz w:val="22"/>
                <w:szCs w:val="22"/>
                <w:lang w:eastAsia="fr-FR"/>
              </w:rPr>
              <w:t xml:space="preserve"> faire gérer.</w:t>
            </w:r>
          </w:p>
        </w:tc>
        <w:tc>
          <w:tcPr>
            <w:tcW w:w="292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xml:space="preserve">-         passer d’une motivation d’exploit individuel </w:t>
            </w:r>
            <w:proofErr w:type="gramStart"/>
            <w:r w:rsidRPr="00EB4E59">
              <w:rPr>
                <w:rFonts w:ascii="Agency FB" w:hAnsi="Agency FB"/>
                <w:b/>
                <w:bCs/>
                <w:sz w:val="22"/>
                <w:szCs w:val="22"/>
                <w:lang w:eastAsia="fr-FR"/>
              </w:rPr>
              <w:t>a</w:t>
            </w:r>
            <w:proofErr w:type="gramEnd"/>
            <w:r w:rsidRPr="00EB4E59">
              <w:rPr>
                <w:rFonts w:ascii="Agency FB" w:hAnsi="Agency FB"/>
                <w:b/>
                <w:bCs/>
                <w:sz w:val="22"/>
                <w:szCs w:val="22"/>
                <w:lang w:eastAsia="fr-FR"/>
              </w:rPr>
              <w:t xml:space="preserve"> une motivation d’exploit collectif.</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Passer d’une action désordonnée à un projet collectif.</w:t>
            </w:r>
          </w:p>
          <w:p w:rsidR="00EB4E59" w:rsidRPr="00EB4E59" w:rsidRDefault="00EB4E59" w:rsidP="00EB4E59">
            <w:pPr>
              <w:bidi w:val="0"/>
              <w:jc w:val="center"/>
              <w:rPr>
                <w:rFonts w:ascii="Agency FB" w:hAnsi="Agency FB"/>
                <w:b/>
                <w:bCs/>
                <w:sz w:val="22"/>
                <w:szCs w:val="22"/>
                <w:lang w:eastAsia="fr-FR"/>
              </w:rPr>
            </w:pPr>
            <w:r w:rsidRPr="00EB4E59">
              <w:rPr>
                <w:rFonts w:ascii="Agency FB" w:hAnsi="Agency FB"/>
                <w:b/>
                <w:bCs/>
                <w:sz w:val="22"/>
                <w:szCs w:val="22"/>
                <w:lang w:eastAsia="fr-FR"/>
              </w:rPr>
              <w:t>-         Evaluer un jeu de frappe avec les mains uniquement.</w:t>
            </w:r>
          </w:p>
        </w:tc>
      </w:tr>
      <w:tr w:rsidR="00EB4E59" w:rsidRPr="00EB4E59" w:rsidTr="00EB4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trHeight w:val="2854"/>
        </w:trPr>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 </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 </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2</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Début de dissociation entre le bas et le haut du corps.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Début d’équilibre.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Début d’orientation des appuis et des épaules.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Difficulté de déplacement.</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Maintenir l’équilibre en orientant les appuis et les épaules par rapport aux trajectoires de la balle.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Se déplacer dans l’espace.</w:t>
            </w:r>
          </w:p>
        </w:tc>
        <w:tc>
          <w:tcPr>
            <w:tcW w:w="288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Jeu d’envoi et de renvoi entre partenaires ans participation d’autres qu’accidentelle.</w:t>
            </w:r>
          </w:p>
          <w:p w:rsidR="00EB4E59" w:rsidRPr="00EB4E59" w:rsidRDefault="00EB4E59" w:rsidP="00EB4E59">
            <w:pPr>
              <w:bidi w:val="0"/>
              <w:jc w:val="center"/>
              <w:rPr>
                <w:rFonts w:ascii="Agency FB" w:hAnsi="Agency FB"/>
                <w:b/>
                <w:bCs/>
                <w:sz w:val="22"/>
                <w:szCs w:val="22"/>
                <w:lang w:eastAsia="fr-FR"/>
              </w:rPr>
            </w:pPr>
            <w:r w:rsidRPr="00EB4E59">
              <w:rPr>
                <w:rFonts w:ascii="Agency FB" w:hAnsi="Agency FB"/>
                <w:b/>
                <w:bCs/>
                <w:sz w:val="22"/>
                <w:szCs w:val="22"/>
                <w:lang w:eastAsia="fr-FR"/>
              </w:rPr>
              <w:t xml:space="preserve">Réaction tardive par rapport à la balle entraînant des actions désordonnées sur </w:t>
            </w:r>
            <w:proofErr w:type="spellStart"/>
            <w:r w:rsidRPr="00EB4E59">
              <w:rPr>
                <w:rFonts w:ascii="Agency FB" w:hAnsi="Agency FB"/>
                <w:b/>
                <w:bCs/>
                <w:sz w:val="22"/>
                <w:szCs w:val="22"/>
                <w:lang w:eastAsia="fr-FR"/>
              </w:rPr>
              <w:t>celle ci</w:t>
            </w:r>
            <w:proofErr w:type="spellEnd"/>
            <w:r w:rsidRPr="00EB4E59">
              <w:rPr>
                <w:rFonts w:ascii="Agency FB" w:hAnsi="Agency FB"/>
                <w:b/>
                <w:bCs/>
                <w:sz w:val="22"/>
                <w:szCs w:val="22"/>
                <w:lang w:eastAsia="fr-FR"/>
              </w:rPr>
              <w:t>.</w:t>
            </w:r>
          </w:p>
        </w:tc>
        <w:tc>
          <w:tcPr>
            <w:tcW w:w="292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Passer du renvoi direct organisé avec relais en zone avant.</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Passer d’un jeu statique à un jeu dynamique : Attitude pré dynamique modulation des déplacements tôt sur la trajectoire de la balle.</w:t>
            </w:r>
          </w:p>
          <w:p w:rsidR="00EB4E59" w:rsidRPr="00EB4E59" w:rsidRDefault="00EB4E59" w:rsidP="00EB4E59">
            <w:pPr>
              <w:bidi w:val="0"/>
              <w:jc w:val="center"/>
              <w:rPr>
                <w:rFonts w:ascii="Agency FB" w:hAnsi="Agency FB"/>
                <w:b/>
                <w:bCs/>
                <w:sz w:val="22"/>
                <w:szCs w:val="22"/>
                <w:lang w:eastAsia="fr-FR"/>
              </w:rPr>
            </w:pPr>
            <w:r w:rsidRPr="00EB4E59">
              <w:rPr>
                <w:rFonts w:ascii="Agency FB" w:hAnsi="Agency FB"/>
                <w:b/>
                <w:bCs/>
                <w:sz w:val="22"/>
                <w:szCs w:val="22"/>
                <w:lang w:eastAsia="fr-FR"/>
              </w:rPr>
              <w:t>-         Placement et production de trajectoire variée.</w:t>
            </w:r>
          </w:p>
        </w:tc>
      </w:tr>
      <w:tr w:rsidR="00EB4E59" w:rsidRPr="00EB4E59" w:rsidTr="00EB4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trHeight w:val="2849"/>
        </w:trPr>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 </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color w:val="FF0000"/>
                <w:sz w:val="22"/>
                <w:szCs w:val="22"/>
                <w:lang w:eastAsia="fr-FR"/>
              </w:rPr>
              <w:t>3</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Equilibre plus ou moins maintenu.</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-Orientation des appuis et des épaules.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-Dissociations fines au niveau du dosage permettent que peu de choix.</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Maintenir l’équilibre en fléchissant les jambes et en orientant les appuis et les épaules.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Favoriser un maximum de choix.</w:t>
            </w:r>
          </w:p>
        </w:tc>
        <w:tc>
          <w:tcPr>
            <w:tcW w:w="288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Les joueurs sont centrés sur un jeu de construction de l’attaque relativement bien maîtrisée mais reste cependant peu efficace.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Ils répètent les formes de jeu sans prise de décisions.</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Ils ne sont pas engagés sur les déplacements.</w:t>
            </w:r>
          </w:p>
          <w:p w:rsidR="00EB4E59" w:rsidRPr="00EB4E59" w:rsidRDefault="00EB4E59" w:rsidP="00EB4E59">
            <w:pPr>
              <w:bidi w:val="0"/>
              <w:jc w:val="center"/>
              <w:rPr>
                <w:rFonts w:ascii="Agency FB" w:hAnsi="Agency FB"/>
                <w:b/>
                <w:bCs/>
                <w:sz w:val="22"/>
                <w:szCs w:val="22"/>
                <w:lang w:eastAsia="fr-FR"/>
              </w:rPr>
            </w:pPr>
            <w:r w:rsidRPr="00EB4E59">
              <w:rPr>
                <w:rFonts w:ascii="Agency FB" w:hAnsi="Agency FB"/>
                <w:b/>
                <w:bCs/>
                <w:sz w:val="22"/>
                <w:szCs w:val="22"/>
                <w:lang w:eastAsia="fr-FR"/>
              </w:rPr>
              <w:t>L’attaquant est collé au filet avec pour conséquence un choix de système de jeu à deux.</w:t>
            </w:r>
          </w:p>
        </w:tc>
        <w:tc>
          <w:tcPr>
            <w:tcW w:w="2920" w:type="dxa"/>
            <w:tcBorders>
              <w:top w:val="single" w:sz="4" w:space="0" w:color="auto"/>
              <w:bottom w:val="single" w:sz="4" w:space="0" w:color="auto"/>
              <w:right w:val="single" w:sz="4" w:space="0" w:color="auto"/>
            </w:tcBorders>
            <w:shd w:val="clear" w:color="auto" w:fill="auto"/>
            <w:vAlign w:val="center"/>
          </w:tcPr>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Passer d’une maîtrise de balle qui permet de différencier une balle de conservation ou de sauvegarde d’une balle d’attaque qui cherche la rupture.</w:t>
            </w:r>
          </w:p>
          <w:p w:rsidR="00EB4E59" w:rsidRPr="00EB4E59" w:rsidRDefault="00EB4E59" w:rsidP="00EB4E59">
            <w:pPr>
              <w:bidi w:val="0"/>
              <w:spacing w:before="100" w:beforeAutospacing="1" w:after="100" w:afterAutospacing="1"/>
              <w:jc w:val="center"/>
              <w:rPr>
                <w:rFonts w:ascii="Agency FB" w:hAnsi="Agency FB"/>
                <w:b/>
                <w:bCs/>
                <w:sz w:val="22"/>
                <w:szCs w:val="22"/>
                <w:lang w:eastAsia="fr-FR"/>
              </w:rPr>
            </w:pPr>
            <w:r w:rsidRPr="00EB4E59">
              <w:rPr>
                <w:rFonts w:ascii="Agency FB" w:hAnsi="Agency FB"/>
                <w:b/>
                <w:bCs/>
                <w:sz w:val="22"/>
                <w:szCs w:val="22"/>
                <w:lang w:eastAsia="fr-FR"/>
              </w:rPr>
              <w:t>-         Passer d’une construction d’attaque organisée à partir uniquement de la balle et de la position initiale des joueurs à une construction d’attaque organisée à partir de déplacement des joueurs et de position des joueurs adverses.</w:t>
            </w:r>
          </w:p>
          <w:p w:rsidR="00EB4E59" w:rsidRPr="00EB4E59" w:rsidRDefault="00EB4E59" w:rsidP="00EB4E59">
            <w:pPr>
              <w:bidi w:val="0"/>
              <w:jc w:val="center"/>
              <w:rPr>
                <w:rFonts w:ascii="Agency FB" w:hAnsi="Agency FB"/>
                <w:b/>
                <w:bCs/>
                <w:sz w:val="22"/>
                <w:szCs w:val="22"/>
                <w:lang w:eastAsia="fr-FR"/>
              </w:rPr>
            </w:pPr>
          </w:p>
        </w:tc>
      </w:tr>
    </w:tbl>
    <w:p w:rsidR="00A22503" w:rsidRPr="00EB4E59" w:rsidRDefault="00EB4E59" w:rsidP="00EB4E59">
      <w:pPr>
        <w:bidi w:val="0"/>
        <w:spacing w:line="360" w:lineRule="auto"/>
        <w:jc w:val="center"/>
      </w:pPr>
      <w:bookmarkStart w:id="0" w:name="_GoBack"/>
      <w:r>
        <w:rPr>
          <w:noProof/>
          <w:lang w:eastAsia="fr-FR"/>
        </w:rPr>
        <mc:AlternateContent>
          <mc:Choice Requires="wps">
            <w:drawing>
              <wp:inline distT="0" distB="0" distL="0" distR="0">
                <wp:extent cx="5270500" cy="495300"/>
                <wp:effectExtent l="9525" t="9525" r="53340" b="38100"/>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70500" cy="495300"/>
                        </a:xfrm>
                        <a:prstGeom prst="rect">
                          <a:avLst/>
                        </a:prstGeom>
                      </wps:spPr>
                      <wps:txbx>
                        <w:txbxContent>
                          <w:p w:rsidR="00EB4E59" w:rsidRDefault="00EB4E59" w:rsidP="00EB4E59">
                            <w:pPr>
                              <w:pStyle w:val="NormalWeb"/>
                              <w:spacing w:before="0" w:beforeAutospacing="0" w:after="0" w:afterAutospacing="0"/>
                              <w:jc w:val="center"/>
                            </w:pPr>
                            <w:r w:rsidRPr="00EB4E59">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Modélisation des niveaux</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Zone de texte 1" o:spid="_x0000_s1026" type="#_x0000_t202" style="width:415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" filled="f" stroked="f">
                <o:lock v:ext="edit" shapetype="t"/>
                <v:textbox style="mso-fit-shape-to-text:t">
                  <w:txbxContent>
                    <w:p w:rsidR="00EB4E59" w:rsidRDefault="00EB4E59" w:rsidP="00EB4E59">
                      <w:pPr>
                        <w:pStyle w:val="NormalWeb"/>
                        <w:spacing w:before="0" w:beforeAutospacing="0" w:after="0" w:afterAutospacing="0"/>
                        <w:jc w:val="center"/>
                      </w:pPr>
                      <w:r w:rsidRPr="00EB4E59">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Modélisation des niveaux</w:t>
                      </w:r>
                    </w:p>
                  </w:txbxContent>
                </v:textbox>
                <w10:anchorlock/>
              </v:shape>
            </w:pict>
          </mc:Fallback>
        </mc:AlternateContent>
      </w:r>
      <w:bookmarkEnd w:id="0"/>
    </w:p>
    <w:sectPr w:rsidR="00A22503" w:rsidRPr="00EB4E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E59"/>
    <w:rsid w:val="00A22503"/>
    <w:rsid w:val="00EB4E5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17A9CB-144C-4D63-A3F3-0324E5B3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E59"/>
    <w:pPr>
      <w:bidi/>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EB4E59"/>
    <w:pPr>
      <w:bidi w:val="0"/>
      <w:spacing w:before="100" w:beforeAutospacing="1" w:after="100" w:afterAutospacing="1"/>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399</Words>
  <Characters>2200</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2022-11-08T22:37:00Z</dcterms:created>
  <dcterms:modified xsi:type="dcterms:W3CDTF">2022-11-08T22:39:00Z</dcterms:modified>
</cp:coreProperties>
</file>